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C9" w:rsidRPr="004F3B3B" w:rsidRDefault="009A25C9" w:rsidP="000F20EF">
      <w:pPr>
        <w:widowControl w:val="0"/>
        <w:autoSpaceDE w:val="0"/>
        <w:autoSpaceDN w:val="0"/>
        <w:adjustRightInd w:val="0"/>
        <w:ind w:left="-426" w:right="284"/>
        <w:jc w:val="center"/>
        <w:rPr>
          <w:rFonts w:ascii="Arial Narrow" w:hAnsi="Arial Narrow" w:cs="Helvetica"/>
          <w:spacing w:val="5"/>
          <w:kern w:val="1"/>
          <w:sz w:val="22"/>
          <w:szCs w:val="22"/>
        </w:rPr>
      </w:pPr>
    </w:p>
    <w:p w:rsidR="002A35BC" w:rsidRPr="000F20EF" w:rsidRDefault="002A35BC" w:rsidP="000F20EF">
      <w:pPr>
        <w:widowControl w:val="0"/>
        <w:autoSpaceDE w:val="0"/>
        <w:autoSpaceDN w:val="0"/>
        <w:adjustRightInd w:val="0"/>
        <w:ind w:right="284"/>
        <w:jc w:val="center"/>
        <w:rPr>
          <w:rFonts w:ascii="Arial Narrow" w:hAnsi="Arial Narrow" w:cs="Helvetica"/>
          <w:spacing w:val="5"/>
          <w:kern w:val="1"/>
          <w:sz w:val="20"/>
          <w:szCs w:val="20"/>
        </w:rPr>
      </w:pPr>
      <w:r w:rsidRPr="000F20EF">
        <w:rPr>
          <w:rFonts w:ascii="Arial Narrow" w:hAnsi="Arial Narrow" w:cs="Helvetica"/>
          <w:spacing w:val="5"/>
          <w:kern w:val="1"/>
          <w:sz w:val="20"/>
          <w:szCs w:val="20"/>
        </w:rPr>
        <w:t xml:space="preserve">Communiqué de presse - Nouvelle publication </w:t>
      </w:r>
      <w:r w:rsidR="000F20EF">
        <w:rPr>
          <w:rFonts w:ascii="Arial Narrow" w:hAnsi="Arial Narrow" w:cs="Helvetica"/>
          <w:spacing w:val="5"/>
          <w:kern w:val="1"/>
          <w:sz w:val="20"/>
          <w:szCs w:val="20"/>
        </w:rPr>
        <w:tab/>
      </w:r>
      <w:r w:rsidR="000F20EF">
        <w:rPr>
          <w:rFonts w:ascii="Arial Narrow" w:hAnsi="Arial Narrow" w:cs="Helvetica"/>
          <w:spacing w:val="5"/>
          <w:kern w:val="1"/>
          <w:sz w:val="20"/>
          <w:szCs w:val="20"/>
        </w:rPr>
        <w:tab/>
      </w:r>
      <w:r w:rsidR="000F20EF">
        <w:rPr>
          <w:rFonts w:ascii="Arial Narrow" w:hAnsi="Arial Narrow" w:cs="Helvetica"/>
          <w:spacing w:val="5"/>
          <w:kern w:val="1"/>
          <w:sz w:val="20"/>
          <w:szCs w:val="20"/>
        </w:rPr>
        <w:tab/>
      </w:r>
      <w:r w:rsidR="000F20EF">
        <w:rPr>
          <w:rFonts w:ascii="Arial Narrow" w:hAnsi="Arial Narrow" w:cs="Helvetica"/>
          <w:spacing w:val="5"/>
          <w:kern w:val="1"/>
          <w:sz w:val="20"/>
          <w:szCs w:val="20"/>
        </w:rPr>
        <w:tab/>
        <w:t xml:space="preserve"> </w:t>
      </w:r>
      <w:r w:rsidRPr="000F20EF">
        <w:rPr>
          <w:rFonts w:ascii="Arial Narrow" w:hAnsi="Arial Narrow" w:cs="Helvetica"/>
          <w:spacing w:val="5"/>
          <w:kern w:val="1"/>
          <w:sz w:val="20"/>
          <w:szCs w:val="20"/>
        </w:rPr>
        <w:t xml:space="preserve">Paris, le </w:t>
      </w:r>
      <w:r w:rsidR="000F20EF">
        <w:rPr>
          <w:rFonts w:ascii="Arial Narrow" w:hAnsi="Arial Narrow" w:cs="Helvetica"/>
          <w:spacing w:val="5"/>
          <w:kern w:val="1"/>
          <w:sz w:val="20"/>
          <w:szCs w:val="20"/>
        </w:rPr>
        <w:t>mardi 4</w:t>
      </w:r>
      <w:r w:rsidRPr="000F20EF">
        <w:rPr>
          <w:rFonts w:ascii="Arial Narrow" w:hAnsi="Arial Narrow" w:cs="Helvetica"/>
          <w:spacing w:val="5"/>
          <w:kern w:val="1"/>
          <w:sz w:val="20"/>
          <w:szCs w:val="20"/>
        </w:rPr>
        <w:t xml:space="preserve"> décembre 2012</w:t>
      </w:r>
    </w:p>
    <w:p w:rsidR="002A35BC" w:rsidRDefault="002A35BC" w:rsidP="003A4409">
      <w:pPr>
        <w:widowControl w:val="0"/>
        <w:autoSpaceDE w:val="0"/>
        <w:autoSpaceDN w:val="0"/>
        <w:adjustRightInd w:val="0"/>
        <w:spacing w:line="288" w:lineRule="auto"/>
        <w:ind w:right="284"/>
        <w:rPr>
          <w:rFonts w:ascii="Arial Narrow" w:hAnsi="Arial Narrow" w:cs="Helvetica"/>
          <w:b/>
          <w:i/>
          <w:color w:val="365F91" w:themeColor="accent1" w:themeShade="BF"/>
          <w:spacing w:val="5"/>
          <w:kern w:val="1"/>
        </w:rPr>
      </w:pPr>
    </w:p>
    <w:p w:rsidR="002A35BC" w:rsidRPr="003A34AF" w:rsidRDefault="00B66C2B" w:rsidP="00B66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4749"/>
          <w:tab w:val="left" w:pos="8610"/>
        </w:tabs>
        <w:autoSpaceDE w:val="0"/>
        <w:autoSpaceDN w:val="0"/>
        <w:adjustRightInd w:val="0"/>
        <w:spacing w:line="288" w:lineRule="auto"/>
        <w:ind w:right="284"/>
        <w:rPr>
          <w:rFonts w:ascii="Arial Narrow" w:hAnsi="Arial Narrow" w:cs="Helvetica"/>
          <w:b/>
          <w:i/>
          <w:color w:val="365F91" w:themeColor="accent1" w:themeShade="BF"/>
          <w:spacing w:val="5"/>
          <w:kern w:val="1"/>
          <w:sz w:val="28"/>
          <w:szCs w:val="28"/>
        </w:rPr>
      </w:pPr>
      <w:r>
        <w:rPr>
          <w:rFonts w:ascii="Arial Narrow" w:hAnsi="Arial Narrow" w:cs="Helvetica"/>
          <w:b/>
          <w:i/>
          <w:color w:val="365F91" w:themeColor="accent1" w:themeShade="BF"/>
          <w:spacing w:val="5"/>
          <w:kern w:val="1"/>
          <w:sz w:val="28"/>
          <w:szCs w:val="28"/>
        </w:rPr>
        <w:tab/>
      </w:r>
      <w:r w:rsidR="00506535">
        <w:rPr>
          <w:rFonts w:ascii="Arial Narrow" w:hAnsi="Arial Narrow" w:cs="Helvetica"/>
          <w:b/>
          <w:i/>
          <w:color w:val="365F91" w:themeColor="accent1" w:themeShade="BF"/>
          <w:spacing w:val="5"/>
          <w:kern w:val="1"/>
          <w:sz w:val="28"/>
          <w:szCs w:val="28"/>
        </w:rPr>
        <w:t>Pôles de compétitivité : t</w:t>
      </w:r>
      <w:r w:rsidR="002A35BC" w:rsidRPr="003A34AF">
        <w:rPr>
          <w:rFonts w:ascii="Arial Narrow" w:hAnsi="Arial Narrow" w:cs="Helvetica"/>
          <w:b/>
          <w:i/>
          <w:color w:val="365F91" w:themeColor="accent1" w:themeShade="BF"/>
          <w:spacing w:val="5"/>
          <w:kern w:val="1"/>
          <w:sz w:val="28"/>
          <w:szCs w:val="28"/>
        </w:rPr>
        <w:t>ransformer l’essai.</w:t>
      </w:r>
      <w:r>
        <w:rPr>
          <w:rFonts w:ascii="Arial Narrow" w:hAnsi="Arial Narrow" w:cs="Helvetica"/>
          <w:b/>
          <w:i/>
          <w:color w:val="365F91" w:themeColor="accent1" w:themeShade="BF"/>
          <w:spacing w:val="5"/>
          <w:kern w:val="1"/>
          <w:sz w:val="28"/>
          <w:szCs w:val="28"/>
        </w:rPr>
        <w:tab/>
      </w:r>
    </w:p>
    <w:p w:rsidR="002A35BC" w:rsidRPr="000F20EF" w:rsidRDefault="000F20EF" w:rsidP="002A35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line="288" w:lineRule="auto"/>
        <w:ind w:right="284"/>
        <w:jc w:val="center"/>
        <w:rPr>
          <w:rFonts w:ascii="Arial Narrow" w:hAnsi="Arial Narrow" w:cs="Helvetica"/>
          <w:b/>
          <w:i/>
          <w:color w:val="365F91" w:themeColor="accent1" w:themeShade="BF"/>
          <w:spacing w:val="5"/>
          <w:kern w:val="1"/>
          <w:sz w:val="18"/>
          <w:szCs w:val="18"/>
        </w:rPr>
      </w:pPr>
      <w:r w:rsidRPr="000F20EF">
        <w:rPr>
          <w:rFonts w:ascii="Arial Narrow" w:hAnsi="Arial Narrow" w:cs="Helvetica"/>
          <w:b/>
          <w:i/>
          <w:color w:val="365F91" w:themeColor="accent1" w:themeShade="BF"/>
          <w:spacing w:val="5"/>
          <w:kern w:val="1"/>
          <w:sz w:val="18"/>
          <w:szCs w:val="18"/>
        </w:rPr>
        <w:t>TROIS PROPOSITIONS POUR FAIRE EMERGER DES « SILICON VALLEYS » A LA FRANÇAISE</w:t>
      </w:r>
    </w:p>
    <w:p w:rsidR="002A35BC" w:rsidRPr="004F3B3B" w:rsidRDefault="002A35BC" w:rsidP="002A35BC">
      <w:pPr>
        <w:widowControl w:val="0"/>
        <w:autoSpaceDE w:val="0"/>
        <w:autoSpaceDN w:val="0"/>
        <w:adjustRightInd w:val="0"/>
        <w:ind w:left="-426" w:right="284"/>
        <w:jc w:val="both"/>
        <w:rPr>
          <w:rFonts w:ascii="Arial Narrow" w:hAnsi="Arial Narrow" w:cs="Helvetica"/>
          <w:color w:val="365F91" w:themeColor="accent1" w:themeShade="BF"/>
          <w:spacing w:val="11"/>
          <w:kern w:val="1"/>
          <w:sz w:val="22"/>
          <w:szCs w:val="22"/>
        </w:rPr>
      </w:pPr>
    </w:p>
    <w:p w:rsidR="00375B70" w:rsidRPr="004F3B3B" w:rsidRDefault="00375B70" w:rsidP="00116570">
      <w:pPr>
        <w:widowControl w:val="0"/>
        <w:autoSpaceDE w:val="0"/>
        <w:autoSpaceDN w:val="0"/>
        <w:adjustRightInd w:val="0"/>
        <w:ind w:right="284"/>
        <w:rPr>
          <w:rFonts w:ascii="Arial Narrow" w:hAnsi="Arial Narrow" w:cs="Helvetica"/>
          <w:color w:val="365F91" w:themeColor="accent1" w:themeShade="BF"/>
          <w:spacing w:val="11"/>
          <w:kern w:val="1"/>
          <w:sz w:val="22"/>
          <w:szCs w:val="22"/>
        </w:rPr>
      </w:pPr>
    </w:p>
    <w:p w:rsidR="002A35BC" w:rsidRPr="00950777" w:rsidRDefault="002A35BC" w:rsidP="007A6462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i/>
          <w:spacing w:val="5"/>
          <w:kern w:val="1"/>
          <w:sz w:val="21"/>
          <w:szCs w:val="21"/>
        </w:rPr>
      </w:pPr>
      <w:r w:rsidRPr="00950777">
        <w:rPr>
          <w:rFonts w:ascii="Arial Narrow" w:hAnsi="Arial Narrow" w:cs="Helvetica"/>
          <w:b/>
          <w:i/>
          <w:spacing w:val="5"/>
          <w:kern w:val="1"/>
          <w:sz w:val="21"/>
          <w:szCs w:val="21"/>
        </w:rPr>
        <w:t>Les préconisations du rapport Gallois, l’acte III de la décentralisation et le lancement de la phase III des pôles remettent les pôles de compétitivité au cœur de l’actualité.</w:t>
      </w:r>
      <w:r w:rsidRPr="00950777">
        <w:rPr>
          <w:rFonts w:ascii="Arial Narrow" w:hAnsi="Arial Narrow" w:cs="Helvetica"/>
          <w:i/>
          <w:spacing w:val="5"/>
          <w:kern w:val="1"/>
          <w:sz w:val="21"/>
          <w:szCs w:val="21"/>
        </w:rPr>
        <w:t xml:space="preserve"> </w:t>
      </w:r>
    </w:p>
    <w:p w:rsidR="002A35BC" w:rsidRPr="00950777" w:rsidRDefault="002A35BC" w:rsidP="007A6462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i/>
          <w:spacing w:val="5"/>
          <w:kern w:val="1"/>
          <w:sz w:val="21"/>
          <w:szCs w:val="21"/>
        </w:rPr>
      </w:pPr>
    </w:p>
    <w:p w:rsidR="005E1418" w:rsidRPr="00950777" w:rsidRDefault="005E1418" w:rsidP="007A6462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/>
          <w:i/>
          <w:spacing w:val="5"/>
          <w:kern w:val="1"/>
          <w:sz w:val="21"/>
          <w:szCs w:val="21"/>
        </w:rPr>
      </w:pPr>
      <w:r w:rsidRPr="00950777">
        <w:rPr>
          <w:rFonts w:ascii="Arial Narrow" w:hAnsi="Arial Narrow" w:cs="Helvetica"/>
          <w:b/>
          <w:i/>
          <w:spacing w:val="1"/>
          <w:kern w:val="1"/>
          <w:sz w:val="21"/>
          <w:szCs w:val="21"/>
        </w:rPr>
        <w:t>A partir de 200</w:t>
      </w:r>
      <w:r w:rsidR="007A6462" w:rsidRPr="00950777">
        <w:rPr>
          <w:rFonts w:ascii="Arial Narrow" w:hAnsi="Arial Narrow" w:cs="Helvetica"/>
          <w:b/>
          <w:i/>
          <w:spacing w:val="1"/>
          <w:kern w:val="1"/>
          <w:sz w:val="21"/>
          <w:szCs w:val="21"/>
        </w:rPr>
        <w:t>5</w:t>
      </w:r>
      <w:r w:rsidRPr="00950777">
        <w:rPr>
          <w:rFonts w:ascii="Arial Narrow" w:hAnsi="Arial Narrow" w:cs="Helvetica"/>
          <w:b/>
          <w:i/>
          <w:spacing w:val="5"/>
          <w:kern w:val="1"/>
          <w:sz w:val="21"/>
          <w:szCs w:val="21"/>
        </w:rPr>
        <w:t xml:space="preserve">, la mise en place des </w:t>
      </w:r>
      <w:r w:rsidR="007A6462" w:rsidRPr="00950777">
        <w:rPr>
          <w:rFonts w:ascii="Arial Narrow" w:hAnsi="Arial Narrow" w:cs="Helvetica"/>
          <w:b/>
          <w:i/>
          <w:spacing w:val="1"/>
          <w:kern w:val="1"/>
          <w:sz w:val="21"/>
          <w:szCs w:val="21"/>
        </w:rPr>
        <w:t>p</w:t>
      </w:r>
      <w:r w:rsidRPr="00950777">
        <w:rPr>
          <w:rFonts w:ascii="Arial Narrow" w:hAnsi="Arial Narrow" w:cs="Helvetica"/>
          <w:b/>
          <w:i/>
          <w:spacing w:val="1"/>
          <w:kern w:val="1"/>
          <w:sz w:val="21"/>
          <w:szCs w:val="21"/>
        </w:rPr>
        <w:t>ôles de compétitivité a constitué une inflexion bienvenue</w:t>
      </w:r>
      <w:r w:rsidRPr="00950777">
        <w:rPr>
          <w:rFonts w:ascii="Arial Narrow" w:hAnsi="Arial Narrow" w:cs="Helvetica"/>
          <w:b/>
          <w:i/>
          <w:spacing w:val="5"/>
          <w:kern w:val="1"/>
          <w:sz w:val="21"/>
          <w:szCs w:val="21"/>
        </w:rPr>
        <w:t xml:space="preserve"> des politiques économiques françaises</w:t>
      </w:r>
      <w:r w:rsidR="00950777">
        <w:rPr>
          <w:rFonts w:ascii="Arial Narrow" w:hAnsi="Arial Narrow" w:cs="Helvetica"/>
          <w:b/>
          <w:i/>
          <w:spacing w:val="5"/>
          <w:kern w:val="1"/>
          <w:sz w:val="21"/>
          <w:szCs w:val="21"/>
        </w:rPr>
        <w:t>,</w:t>
      </w:r>
      <w:r w:rsidRPr="00950777">
        <w:rPr>
          <w:rFonts w:ascii="Arial Narrow" w:hAnsi="Arial Narrow" w:cs="Helvetica"/>
          <w:b/>
          <w:i/>
          <w:spacing w:val="5"/>
          <w:kern w:val="1"/>
          <w:sz w:val="21"/>
          <w:szCs w:val="21"/>
        </w:rPr>
        <w:t xml:space="preserve"> jusqu’alors fondées sur de grands programmes industriels pilotés au niveau national. Cette approche traditionnelle, pertinente après-guerre, </w:t>
      </w:r>
      <w:r w:rsidR="00950777">
        <w:rPr>
          <w:rFonts w:ascii="Arial Narrow" w:hAnsi="Arial Narrow" w:cs="Helvetica"/>
          <w:b/>
          <w:i/>
          <w:spacing w:val="5"/>
          <w:kern w:val="1"/>
          <w:sz w:val="21"/>
          <w:szCs w:val="21"/>
        </w:rPr>
        <w:t>est en effet moins adaptée</w:t>
      </w:r>
      <w:r w:rsidRPr="00950777">
        <w:rPr>
          <w:rFonts w:ascii="Arial Narrow" w:hAnsi="Arial Narrow" w:cs="Helvetica"/>
          <w:b/>
          <w:i/>
          <w:spacing w:val="5"/>
          <w:kern w:val="1"/>
          <w:sz w:val="21"/>
          <w:szCs w:val="21"/>
        </w:rPr>
        <w:t xml:space="preserve"> dans une économie internationalisée et dont la performance dépend désormais largement de sa capacité à innover.</w:t>
      </w:r>
      <w:r w:rsidR="007A6462" w:rsidRPr="00950777">
        <w:rPr>
          <w:rFonts w:ascii="Arial Narrow" w:hAnsi="Arial Narrow" w:cs="Helvetica"/>
          <w:b/>
          <w:i/>
          <w:spacing w:val="5"/>
          <w:kern w:val="1"/>
          <w:sz w:val="21"/>
          <w:szCs w:val="21"/>
        </w:rPr>
        <w:t xml:space="preserve"> Dans le contexte actuel, une stratégie de soutien aux « clusters », à laquelle correspond la politique des pôles de compétitivité, devient essentielle. </w:t>
      </w:r>
    </w:p>
    <w:p w:rsidR="005E1418" w:rsidRPr="00950777" w:rsidRDefault="005E1418" w:rsidP="007A6462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/>
          <w:i/>
          <w:spacing w:val="5"/>
          <w:kern w:val="1"/>
          <w:sz w:val="21"/>
          <w:szCs w:val="21"/>
        </w:rPr>
      </w:pPr>
    </w:p>
    <w:p w:rsidR="005E1418" w:rsidRPr="00950777" w:rsidRDefault="005E1418" w:rsidP="007A6462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/>
          <w:i/>
          <w:spacing w:val="1"/>
          <w:kern w:val="1"/>
          <w:sz w:val="21"/>
          <w:szCs w:val="21"/>
        </w:rPr>
      </w:pPr>
      <w:r w:rsidRPr="00950777">
        <w:rPr>
          <w:rFonts w:ascii="Arial Narrow" w:hAnsi="Arial Narrow" w:cs="Helvetica"/>
          <w:b/>
          <w:i/>
          <w:spacing w:val="5"/>
          <w:kern w:val="1"/>
          <w:sz w:val="21"/>
          <w:szCs w:val="21"/>
        </w:rPr>
        <w:t>L’Institut de l’entreprise préconise, dans le cadre de son «</w:t>
      </w:r>
      <w:r w:rsidRPr="00950777">
        <w:rPr>
          <w:rFonts w:ascii="Arial Narrow" w:hAnsi="Times New Roman" w:cs="Times New Roman"/>
          <w:b/>
          <w:i/>
          <w:spacing w:val="5"/>
          <w:kern w:val="1"/>
          <w:sz w:val="21"/>
          <w:szCs w:val="21"/>
        </w:rPr>
        <w:t> </w:t>
      </w:r>
      <w:r w:rsidRPr="00950777">
        <w:rPr>
          <w:rFonts w:ascii="Arial Narrow" w:hAnsi="Arial Narrow" w:cs="Helvetica"/>
          <w:b/>
          <w:i/>
          <w:spacing w:val="5"/>
          <w:kern w:val="1"/>
          <w:sz w:val="21"/>
          <w:szCs w:val="21"/>
        </w:rPr>
        <w:t>Agenda 2020 de croissance</w:t>
      </w:r>
      <w:r w:rsidRPr="00950777">
        <w:rPr>
          <w:rFonts w:ascii="Arial Narrow" w:hAnsi="Times New Roman" w:cs="Times New Roman"/>
          <w:b/>
          <w:i/>
          <w:spacing w:val="5"/>
          <w:kern w:val="1"/>
          <w:sz w:val="21"/>
          <w:szCs w:val="21"/>
        </w:rPr>
        <w:t> </w:t>
      </w:r>
      <w:r w:rsidRPr="00950777">
        <w:rPr>
          <w:rFonts w:ascii="Arial Narrow" w:hAnsi="Arial Narrow" w:cs="Helvetica"/>
          <w:b/>
          <w:i/>
          <w:spacing w:val="5"/>
          <w:kern w:val="1"/>
          <w:sz w:val="21"/>
          <w:szCs w:val="21"/>
        </w:rPr>
        <w:t>», de consolider la politique des pôles de compétitivité par trois mesures clés : (1) réduire le nombre actuel de pôles et concentrer leurs efforts sur les secteurs les plus prometteurs</w:t>
      </w:r>
      <w:r w:rsidRPr="00950777">
        <w:rPr>
          <w:rFonts w:ascii="Arial Narrow" w:hAnsi="Times New Roman" w:cs="Times New Roman"/>
          <w:b/>
          <w:i/>
          <w:spacing w:val="5"/>
          <w:kern w:val="1"/>
          <w:sz w:val="21"/>
          <w:szCs w:val="21"/>
        </w:rPr>
        <w:t> </w:t>
      </w:r>
      <w:r w:rsidRPr="00950777">
        <w:rPr>
          <w:rFonts w:ascii="Arial Narrow" w:hAnsi="Arial Narrow" w:cs="Helvetica"/>
          <w:b/>
          <w:i/>
          <w:spacing w:val="5"/>
          <w:kern w:val="1"/>
          <w:sz w:val="21"/>
          <w:szCs w:val="21"/>
        </w:rPr>
        <w:t xml:space="preserve">; (2) renforcer leur capacité </w:t>
      </w:r>
      <w:r w:rsidRPr="00950777">
        <w:rPr>
          <w:rFonts w:ascii="Arial Narrow" w:hAnsi="Arial Narrow" w:cs="Helvetica"/>
          <w:b/>
          <w:i/>
          <w:spacing w:val="1"/>
          <w:kern w:val="1"/>
          <w:sz w:val="21"/>
          <w:szCs w:val="21"/>
        </w:rPr>
        <w:t xml:space="preserve">à accompagner les innovations </w:t>
      </w:r>
      <w:r w:rsidR="00817764" w:rsidRPr="00950777">
        <w:rPr>
          <w:rFonts w:ascii="Arial Narrow" w:hAnsi="Arial Narrow" w:cs="Helvetica"/>
          <w:b/>
          <w:i/>
          <w:spacing w:val="1"/>
          <w:kern w:val="1"/>
          <w:sz w:val="21"/>
          <w:szCs w:val="21"/>
        </w:rPr>
        <w:t>et leur commercialisation; (3)</w:t>
      </w:r>
      <w:r w:rsidRPr="00950777">
        <w:rPr>
          <w:rFonts w:ascii="Arial Narrow" w:hAnsi="Arial Narrow" w:cs="Helvetica"/>
          <w:b/>
          <w:i/>
          <w:spacing w:val="1"/>
          <w:kern w:val="1"/>
          <w:sz w:val="21"/>
          <w:szCs w:val="21"/>
        </w:rPr>
        <w:t xml:space="preserve"> impliquer davantage les grandes entreprises.</w:t>
      </w:r>
    </w:p>
    <w:p w:rsidR="005E1418" w:rsidRPr="00A10C99" w:rsidRDefault="005E1418" w:rsidP="007A6462">
      <w:pPr>
        <w:widowControl w:val="0"/>
        <w:tabs>
          <w:tab w:val="left" w:pos="227"/>
        </w:tabs>
        <w:autoSpaceDE w:val="0"/>
        <w:autoSpaceDN w:val="0"/>
        <w:adjustRightInd w:val="0"/>
        <w:ind w:right="284"/>
        <w:rPr>
          <w:rFonts w:ascii="Arial Narrow" w:hAnsi="Arial Narrow" w:cs="Helvetica"/>
          <w:b/>
          <w:color w:val="365F91" w:themeColor="accent1" w:themeShade="BF"/>
          <w:spacing w:val="-2"/>
          <w:kern w:val="1"/>
          <w:position w:val="6"/>
          <w:sz w:val="2"/>
          <w:szCs w:val="21"/>
        </w:rPr>
      </w:pPr>
    </w:p>
    <w:p w:rsidR="005E1418" w:rsidRPr="00950777" w:rsidRDefault="005E1418" w:rsidP="006E19FE">
      <w:pPr>
        <w:widowControl w:val="0"/>
        <w:tabs>
          <w:tab w:val="left" w:pos="2835"/>
        </w:tabs>
        <w:autoSpaceDE w:val="0"/>
        <w:autoSpaceDN w:val="0"/>
        <w:adjustRightInd w:val="0"/>
        <w:ind w:left="-426" w:right="284" w:firstLine="3261"/>
        <w:jc w:val="both"/>
        <w:rPr>
          <w:rFonts w:ascii="Arial Narrow" w:hAnsi="Arial Narrow" w:cs="Helvetica"/>
          <w:spacing w:val="5"/>
          <w:kern w:val="1"/>
          <w:sz w:val="12"/>
          <w:szCs w:val="21"/>
        </w:rPr>
      </w:pPr>
    </w:p>
    <w:tbl>
      <w:tblPr>
        <w:tblStyle w:val="Grilledutableau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3"/>
        <w:gridCol w:w="7514"/>
      </w:tblGrid>
      <w:tr w:rsidR="00817764" w:rsidRPr="00817764" w:rsidTr="00950777">
        <w:trPr>
          <w:trHeight w:val="242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7764" w:rsidRPr="00950777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120"/>
              <w:ind w:right="284"/>
              <w:rPr>
                <w:rFonts w:ascii="Arial Narrow" w:hAnsi="Arial Narrow" w:cs="Helvetica"/>
                <w:b/>
                <w:spacing w:val="5"/>
                <w:kern w:val="1"/>
                <w:sz w:val="21"/>
                <w:szCs w:val="21"/>
              </w:rPr>
            </w:pPr>
            <w:r w:rsidRPr="00950777">
              <w:rPr>
                <w:rFonts w:ascii="Arial Narrow" w:hAnsi="Arial Narrow" w:cs="Helvetica"/>
                <w:b/>
                <w:spacing w:val="5"/>
                <w:kern w:val="1"/>
                <w:sz w:val="21"/>
                <w:szCs w:val="21"/>
              </w:rPr>
              <w:t xml:space="preserve">CHIFFRES CLES </w:t>
            </w:r>
          </w:p>
          <w:p w:rsidR="00817764" w:rsidRPr="00950777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120"/>
              <w:ind w:right="284"/>
              <w:rPr>
                <w:rFonts w:ascii="Arial Narrow" w:hAnsi="Arial Narrow" w:cs="Helvetica"/>
                <w:i/>
                <w:spacing w:val="5"/>
                <w:kern w:val="1"/>
                <w:sz w:val="21"/>
                <w:szCs w:val="21"/>
              </w:rPr>
            </w:pPr>
            <w:r w:rsidRPr="00950777">
              <w:rPr>
                <w:rFonts w:ascii="Arial Narrow" w:hAnsi="Arial Narrow" w:cs="Helvetica"/>
                <w:i/>
                <w:spacing w:val="5"/>
                <w:kern w:val="1"/>
                <w:sz w:val="21"/>
                <w:szCs w:val="21"/>
              </w:rPr>
              <w:t xml:space="preserve">En France en 2012, les pôles représentent seulement : </w:t>
            </w:r>
          </w:p>
          <w:p w:rsidR="00A10C99" w:rsidRPr="00950777" w:rsidRDefault="00A10C99" w:rsidP="00A10C9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120"/>
              <w:ind w:right="284"/>
              <w:rPr>
                <w:rFonts w:ascii="Arial Narrow" w:hAnsi="Arial Narrow" w:cs="Arial Narrow"/>
                <w:i/>
                <w:spacing w:val="5"/>
                <w:kern w:val="1"/>
                <w:sz w:val="21"/>
                <w:szCs w:val="21"/>
              </w:rPr>
            </w:pPr>
            <w:r w:rsidRPr="00950777">
              <w:rPr>
                <w:rFonts w:ascii="Arial Narrow" w:hAnsi="Arial Narrow" w:cs="Helvetica"/>
                <w:i/>
                <w:spacing w:val="5"/>
                <w:kern w:val="1"/>
                <w:sz w:val="21"/>
                <w:szCs w:val="21"/>
              </w:rPr>
              <w:t>•4,5</w:t>
            </w:r>
            <w:r w:rsidRPr="00950777">
              <w:rPr>
                <w:rFonts w:ascii="Arial Narrow" w:hAnsi="Arial" w:cs="Arial"/>
                <w:i/>
                <w:spacing w:val="5"/>
                <w:kern w:val="1"/>
                <w:sz w:val="21"/>
                <w:szCs w:val="21"/>
              </w:rPr>
              <w:t> </w:t>
            </w:r>
            <w:r w:rsidRPr="00950777">
              <w:rPr>
                <w:rFonts w:ascii="Arial Narrow" w:hAnsi="Arial Narrow" w:cs="Arial Narrow"/>
                <w:i/>
                <w:spacing w:val="5"/>
                <w:kern w:val="1"/>
                <w:sz w:val="21"/>
                <w:szCs w:val="21"/>
              </w:rPr>
              <w:t xml:space="preserve">% des dépenses de R&amp;D… </w:t>
            </w:r>
          </w:p>
          <w:p w:rsidR="00817764" w:rsidRPr="00950777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120"/>
              <w:ind w:right="284"/>
              <w:rPr>
                <w:rFonts w:ascii="Arial Narrow" w:hAnsi="Arial Narrow" w:cs="Arial Narrow"/>
                <w:i/>
                <w:spacing w:val="5"/>
                <w:kern w:val="1"/>
                <w:sz w:val="21"/>
                <w:szCs w:val="21"/>
              </w:rPr>
            </w:pPr>
            <w:r w:rsidRPr="00950777">
              <w:rPr>
                <w:rFonts w:ascii="Arial Narrow" w:hAnsi="Arial Narrow" w:cs="Helvetica"/>
                <w:i/>
                <w:spacing w:val="5"/>
                <w:kern w:val="1"/>
                <w:sz w:val="21"/>
                <w:szCs w:val="21"/>
              </w:rPr>
              <w:t>•</w:t>
            </w:r>
            <w:r w:rsidR="00A10C99" w:rsidRPr="00950777">
              <w:rPr>
                <w:rFonts w:ascii="Arial Narrow" w:hAnsi="Arial Narrow" w:cs="Helvetica"/>
                <w:i/>
                <w:spacing w:val="5"/>
                <w:kern w:val="1"/>
                <w:sz w:val="21"/>
                <w:szCs w:val="21"/>
              </w:rPr>
              <w:t xml:space="preserve">… Mais </w:t>
            </w:r>
            <w:r w:rsidRPr="00950777">
              <w:rPr>
                <w:rFonts w:ascii="Arial Narrow" w:hAnsi="Arial Narrow" w:cs="Helvetica"/>
                <w:i/>
                <w:spacing w:val="5"/>
                <w:kern w:val="1"/>
                <w:sz w:val="21"/>
                <w:szCs w:val="21"/>
              </w:rPr>
              <w:t>1,5</w:t>
            </w:r>
            <w:r w:rsidRPr="00950777">
              <w:rPr>
                <w:rFonts w:ascii="Arial Narrow" w:hAnsi="Arial" w:cs="Arial"/>
                <w:i/>
                <w:spacing w:val="5"/>
                <w:kern w:val="1"/>
                <w:sz w:val="21"/>
                <w:szCs w:val="21"/>
              </w:rPr>
              <w:t> </w:t>
            </w:r>
            <w:r w:rsidRPr="00950777">
              <w:rPr>
                <w:rFonts w:ascii="Arial Narrow" w:hAnsi="Arial Narrow" w:cs="Arial Narrow"/>
                <w:i/>
                <w:spacing w:val="5"/>
                <w:kern w:val="1"/>
                <w:sz w:val="21"/>
                <w:szCs w:val="21"/>
              </w:rPr>
              <w:t xml:space="preserve">% des brevets </w:t>
            </w:r>
          </w:p>
          <w:p w:rsidR="00817764" w:rsidRPr="00950777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120"/>
              <w:ind w:right="284"/>
              <w:rPr>
                <w:rFonts w:ascii="Arial Narrow" w:hAnsi="Arial Narrow" w:cs="Arial Narrow"/>
                <w:i/>
                <w:spacing w:val="5"/>
                <w:kern w:val="1"/>
                <w:sz w:val="21"/>
                <w:szCs w:val="21"/>
              </w:rPr>
            </w:pPr>
            <w:r w:rsidRPr="00950777">
              <w:rPr>
                <w:rFonts w:ascii="Arial Narrow" w:hAnsi="Arial Narrow" w:cs="Helvetica"/>
                <w:i/>
                <w:spacing w:val="5"/>
                <w:kern w:val="1"/>
                <w:sz w:val="21"/>
                <w:szCs w:val="21"/>
              </w:rPr>
              <w:t>•5</w:t>
            </w:r>
            <w:r w:rsidRPr="00950777">
              <w:rPr>
                <w:rFonts w:ascii="Arial Narrow" w:hAnsi="Arial" w:cs="Arial"/>
                <w:i/>
                <w:spacing w:val="5"/>
                <w:kern w:val="1"/>
                <w:sz w:val="21"/>
                <w:szCs w:val="21"/>
              </w:rPr>
              <w:t> </w:t>
            </w:r>
            <w:r w:rsidRPr="00950777">
              <w:rPr>
                <w:rFonts w:ascii="Arial Narrow" w:hAnsi="Arial Narrow" w:cs="Arial Narrow"/>
                <w:i/>
                <w:spacing w:val="5"/>
                <w:kern w:val="1"/>
                <w:sz w:val="21"/>
                <w:szCs w:val="21"/>
              </w:rPr>
              <w:t xml:space="preserve">% des créations d’entreprises innovantes. </w:t>
            </w:r>
          </w:p>
          <w:p w:rsidR="00817764" w:rsidRPr="00817764" w:rsidRDefault="00A10C99" w:rsidP="00A10C9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120"/>
              <w:ind w:right="284"/>
              <w:rPr>
                <w:rFonts w:ascii="Arial Narrow" w:hAnsi="Arial Narrow" w:cs="Helvetica"/>
                <w:i/>
                <w:spacing w:val="5"/>
                <w:kern w:val="1"/>
                <w:sz w:val="21"/>
                <w:szCs w:val="21"/>
              </w:rPr>
            </w:pPr>
            <w:r w:rsidRPr="00950777">
              <w:rPr>
                <w:rFonts w:ascii="Arial Narrow" w:hAnsi="Arial Narrow" w:cs="Helvetica"/>
                <w:i/>
                <w:spacing w:val="5"/>
                <w:kern w:val="1"/>
                <w:sz w:val="21"/>
                <w:szCs w:val="21"/>
              </w:rPr>
              <w:t xml:space="preserve">Seuls 25% </w:t>
            </w:r>
            <w:r w:rsidR="00817764" w:rsidRPr="00950777">
              <w:rPr>
                <w:rFonts w:ascii="Arial Narrow" w:hAnsi="Arial Narrow" w:cs="Helvetica"/>
                <w:i/>
                <w:spacing w:val="5"/>
                <w:kern w:val="1"/>
                <w:sz w:val="21"/>
                <w:szCs w:val="21"/>
              </w:rPr>
              <w:t xml:space="preserve">des projets </w:t>
            </w:r>
            <w:r w:rsidR="00817764" w:rsidRPr="00950777">
              <w:rPr>
                <w:rFonts w:ascii="Arial Narrow" w:hAnsi="Arial Narrow" w:cs="Arial Narrow"/>
                <w:i/>
                <w:spacing w:val="5"/>
                <w:kern w:val="1"/>
                <w:sz w:val="21"/>
                <w:szCs w:val="21"/>
              </w:rPr>
              <w:t>accompagnés</w:t>
            </w:r>
            <w:r w:rsidR="00817764" w:rsidRPr="00950777">
              <w:rPr>
                <w:rFonts w:ascii="Arial Narrow" w:hAnsi="Arial Narrow" w:cs="Helvetica"/>
                <w:i/>
                <w:spacing w:val="5"/>
                <w:kern w:val="1"/>
                <w:sz w:val="21"/>
                <w:szCs w:val="21"/>
              </w:rPr>
              <w:t xml:space="preserve"> par les pôles génèr</w:t>
            </w:r>
            <w:r w:rsidRPr="00950777">
              <w:rPr>
                <w:rFonts w:ascii="Arial Narrow" w:hAnsi="Arial Narrow" w:cs="Helvetica"/>
                <w:i/>
                <w:spacing w:val="5"/>
                <w:kern w:val="1"/>
                <w:sz w:val="21"/>
                <w:szCs w:val="21"/>
              </w:rPr>
              <w:t>ent</w:t>
            </w:r>
            <w:r w:rsidR="00817764" w:rsidRPr="00950777">
              <w:rPr>
                <w:rFonts w:ascii="Arial Narrow" w:hAnsi="Arial Narrow" w:cs="Helvetica"/>
                <w:i/>
                <w:spacing w:val="5"/>
                <w:kern w:val="1"/>
                <w:sz w:val="21"/>
                <w:szCs w:val="21"/>
              </w:rPr>
              <w:t xml:space="preserve"> une innovation.</w:t>
            </w:r>
            <w:r w:rsidR="00817764" w:rsidRPr="00817764">
              <w:rPr>
                <w:rFonts w:ascii="Arial Narrow" w:hAnsi="Arial Narrow" w:cs="Helvetica"/>
                <w:i/>
                <w:spacing w:val="5"/>
                <w:kern w:val="1"/>
                <w:sz w:val="21"/>
                <w:szCs w:val="21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17764" w:rsidRPr="00817764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84"/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</w:pPr>
          </w:p>
        </w:tc>
        <w:tc>
          <w:tcPr>
            <w:tcW w:w="7514" w:type="dxa"/>
            <w:tcBorders>
              <w:left w:val="nil"/>
            </w:tcBorders>
          </w:tcPr>
          <w:p w:rsidR="00817764" w:rsidRPr="00817764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84"/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</w:pPr>
            <w:r w:rsidRPr="00817764"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  <w:t>Proposition 1 : Réduire le nombre de pôles existants et les concentrer sur les secteurs à fort potentiel</w:t>
            </w:r>
          </w:p>
          <w:p w:rsidR="00A10C99" w:rsidRPr="00B154ED" w:rsidRDefault="00817764" w:rsidP="00B154E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rFonts w:ascii="Arial Narrow" w:hAnsi="Arial Narrow" w:cs="Helvetica"/>
                <w:spacing w:val="5"/>
                <w:kern w:val="1"/>
                <w:sz w:val="21"/>
                <w:szCs w:val="21"/>
              </w:rPr>
            </w:pPr>
            <w:r w:rsidRPr="00B154ED">
              <w:rPr>
                <w:rFonts w:ascii="Arial Narrow" w:hAnsi="Arial Narrow" w:cs="Helvetica"/>
                <w:spacing w:val="5"/>
                <w:kern w:val="1"/>
                <w:sz w:val="21"/>
                <w:szCs w:val="21"/>
              </w:rPr>
              <w:t>La France compte aujourd’hui 71 pôles de compétitivité (contre 15 clusters d’excellence en Allemagne et 6 seulement en Finlande). 62 d’entre eux se partagent 50</w:t>
            </w:r>
            <w:r w:rsidRPr="00B154ED">
              <w:rPr>
                <w:rFonts w:ascii="Arial" w:hAnsi="Arial" w:cs="Arial"/>
                <w:spacing w:val="5"/>
                <w:kern w:val="1"/>
                <w:sz w:val="21"/>
                <w:szCs w:val="21"/>
              </w:rPr>
              <w:t> </w:t>
            </w:r>
            <w:r w:rsidRPr="00B154ED">
              <w:rPr>
                <w:rFonts w:ascii="Arial Narrow" w:hAnsi="Arial Narrow" w:cs="Arial Narrow"/>
                <w:spacing w:val="5"/>
                <w:kern w:val="1"/>
                <w:sz w:val="21"/>
                <w:szCs w:val="21"/>
              </w:rPr>
              <w:t xml:space="preserve">% du financement global disponible. De plus, ces pôles concernent peu les secteurs à plus fort potentiel et ne couvrent, selon notre évaluation, que 13 des 85 </w:t>
            </w:r>
            <w:r w:rsidRPr="00B154ED">
              <w:rPr>
                <w:rFonts w:ascii="Arial Narrow" w:hAnsi="Arial Narrow" w:cs="Helvetica"/>
                <w:spacing w:val="5"/>
                <w:kern w:val="1"/>
                <w:sz w:val="21"/>
                <w:szCs w:val="21"/>
              </w:rPr>
              <w:t xml:space="preserve">« technologies d’avenir » identifiées par le Ministère de l’Industrie. </w:t>
            </w:r>
            <w:r w:rsidRPr="00B154ED">
              <w:rPr>
                <w:rFonts w:ascii="Arial Narrow" w:hAnsi="Arial Narrow" w:cs="Helvetica"/>
                <w:b/>
                <w:spacing w:val="5"/>
                <w:kern w:val="1"/>
                <w:sz w:val="21"/>
                <w:szCs w:val="21"/>
              </w:rPr>
              <w:t xml:space="preserve">Il est nécessaire de mettre fin à cette logique du « saupoudrage » en ramenant à </w:t>
            </w:r>
            <w:r w:rsidR="00B154ED" w:rsidRPr="00B154ED">
              <w:rPr>
                <w:rFonts w:ascii="Arial Narrow" w:hAnsi="Arial Narrow" w:cs="Helvetica"/>
                <w:b/>
                <w:spacing w:val="5"/>
                <w:kern w:val="1"/>
                <w:sz w:val="21"/>
                <w:szCs w:val="21"/>
              </w:rPr>
              <w:t xml:space="preserve">autour de </w:t>
            </w:r>
            <w:r w:rsidRPr="00B154ED">
              <w:rPr>
                <w:rFonts w:ascii="Arial Narrow" w:hAnsi="Arial Narrow" w:cs="Helvetica"/>
                <w:b/>
                <w:spacing w:val="5"/>
                <w:kern w:val="1"/>
                <w:sz w:val="21"/>
                <w:szCs w:val="21"/>
              </w:rPr>
              <w:t>10 à 15 pôles</w:t>
            </w:r>
            <w:r w:rsidR="00B154ED" w:rsidRPr="00B154ED">
              <w:rPr>
                <w:rFonts w:ascii="Arial Narrow" w:hAnsi="Arial Narrow" w:cs="Helvetica"/>
                <w:b/>
                <w:spacing w:val="5"/>
                <w:kern w:val="1"/>
                <w:sz w:val="21"/>
                <w:szCs w:val="21"/>
              </w:rPr>
              <w:t xml:space="preserve"> le nombre de pôles nationaux. Ainsi, ils seraient</w:t>
            </w:r>
            <w:r w:rsidRPr="00B154ED">
              <w:rPr>
                <w:rFonts w:ascii="Arial Narrow" w:hAnsi="Arial Narrow" w:cs="Helvetica"/>
                <w:b/>
                <w:spacing w:val="5"/>
                <w:kern w:val="1"/>
                <w:sz w:val="21"/>
                <w:szCs w:val="21"/>
              </w:rPr>
              <w:t xml:space="preserve"> à même d’atteindre une taille critique et de se concentrer sur les secteurs à plus fort potentiel</w:t>
            </w:r>
            <w:r w:rsidRPr="00B154ED">
              <w:rPr>
                <w:rFonts w:ascii="Arial Narrow" w:hAnsi="Arial Narrow" w:cs="Helvetica"/>
                <w:spacing w:val="5"/>
                <w:kern w:val="1"/>
                <w:sz w:val="21"/>
                <w:szCs w:val="21"/>
              </w:rPr>
              <w:t>.</w:t>
            </w:r>
          </w:p>
        </w:tc>
      </w:tr>
      <w:tr w:rsidR="00817764" w:rsidRPr="00817764" w:rsidTr="00950777">
        <w:trPr>
          <w:trHeight w:val="116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7764" w:rsidRPr="00817764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rFonts w:ascii="Arial Narrow" w:hAnsi="Arial Narrow" w:cs="Helvetica"/>
                <w:spacing w:val="5"/>
                <w:kern w:val="1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17764" w:rsidRPr="00817764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84"/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</w:pPr>
          </w:p>
        </w:tc>
        <w:tc>
          <w:tcPr>
            <w:tcW w:w="7514" w:type="dxa"/>
            <w:vMerge w:val="restart"/>
            <w:tcBorders>
              <w:left w:val="nil"/>
            </w:tcBorders>
          </w:tcPr>
          <w:p w:rsidR="00A10C99" w:rsidRDefault="00A10C99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84"/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</w:pPr>
          </w:p>
          <w:p w:rsidR="00817764" w:rsidRPr="00817764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84"/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</w:pPr>
            <w:r w:rsidRPr="00817764"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  <w:t>Proposition 2 : Renforcer la capacité des pôles à accompagner l’innovation et la mise sur le marché des projets</w:t>
            </w:r>
          </w:p>
          <w:p w:rsidR="00A10C99" w:rsidRPr="00A10C99" w:rsidRDefault="00817764" w:rsidP="00A10C9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rFonts w:ascii="Arial Narrow" w:hAnsi="Arial Narrow" w:cs="Helvetica"/>
                <w:b/>
                <w:spacing w:val="5"/>
                <w:kern w:val="1"/>
                <w:sz w:val="21"/>
                <w:szCs w:val="21"/>
              </w:rPr>
            </w:pPr>
            <w:r w:rsidRPr="00817764">
              <w:rPr>
                <w:rFonts w:ascii="Arial Narrow" w:hAnsi="Arial Narrow" w:cs="Helvetica"/>
                <w:spacing w:val="5"/>
                <w:kern w:val="1"/>
                <w:sz w:val="21"/>
                <w:szCs w:val="21"/>
              </w:rPr>
              <w:t xml:space="preserve">Les pôles de compétitivité sont encore majoritairement pilotés par l’État et très concentrés </w:t>
            </w:r>
            <w:r w:rsidRPr="00817764">
              <w:rPr>
                <w:rFonts w:ascii="Arial Narrow" w:hAnsi="Arial Narrow" w:cs="Helvetica"/>
                <w:spacing w:val="9"/>
                <w:kern w:val="1"/>
                <w:sz w:val="21"/>
                <w:szCs w:val="21"/>
              </w:rPr>
              <w:t xml:space="preserve">sur l’innovation </w:t>
            </w:r>
            <w:r w:rsidR="00B678C1">
              <w:rPr>
                <w:rFonts w:ascii="Arial Narrow" w:hAnsi="Arial Narrow" w:cs="Helvetica"/>
                <w:spacing w:val="9"/>
                <w:kern w:val="1"/>
                <w:sz w:val="21"/>
                <w:szCs w:val="21"/>
              </w:rPr>
              <w:t xml:space="preserve">en </w:t>
            </w:r>
            <w:r w:rsidRPr="00817764">
              <w:rPr>
                <w:rFonts w:ascii="Arial Narrow" w:hAnsi="Arial Narrow" w:cs="Helvetica"/>
                <w:spacing w:val="9"/>
                <w:kern w:val="1"/>
                <w:sz w:val="21"/>
                <w:szCs w:val="21"/>
              </w:rPr>
              <w:t>«</w:t>
            </w:r>
            <w:r w:rsidRPr="00817764">
              <w:rPr>
                <w:rFonts w:ascii="Times New Roman" w:hAnsi="Times New Roman" w:cs="Times New Roman"/>
                <w:spacing w:val="9"/>
                <w:kern w:val="1"/>
                <w:sz w:val="21"/>
                <w:szCs w:val="21"/>
              </w:rPr>
              <w:t> </w:t>
            </w:r>
            <w:r w:rsidRPr="00817764">
              <w:rPr>
                <w:rFonts w:ascii="Arial Narrow" w:hAnsi="Arial Narrow" w:cs="Helvetica"/>
                <w:spacing w:val="9"/>
                <w:kern w:val="1"/>
                <w:sz w:val="21"/>
                <w:szCs w:val="21"/>
              </w:rPr>
              <w:t>amont</w:t>
            </w:r>
            <w:r w:rsidRPr="00817764">
              <w:rPr>
                <w:rFonts w:ascii="Times New Roman" w:hAnsi="Times New Roman" w:cs="Times New Roman"/>
                <w:spacing w:val="9"/>
                <w:kern w:val="1"/>
                <w:sz w:val="21"/>
                <w:szCs w:val="21"/>
              </w:rPr>
              <w:t> </w:t>
            </w:r>
            <w:r w:rsidRPr="00817764">
              <w:rPr>
                <w:rFonts w:ascii="Arial Narrow" w:hAnsi="Arial Narrow" w:cs="Helvetica"/>
                <w:spacing w:val="9"/>
                <w:kern w:val="1"/>
                <w:sz w:val="21"/>
                <w:szCs w:val="21"/>
              </w:rPr>
              <w:t xml:space="preserve">». </w:t>
            </w:r>
            <w:r w:rsidR="00A10C99">
              <w:rPr>
                <w:rFonts w:ascii="Arial Narrow" w:hAnsi="Arial Narrow" w:cs="Helvetica"/>
                <w:spacing w:val="9"/>
                <w:kern w:val="1"/>
                <w:sz w:val="21"/>
                <w:szCs w:val="21"/>
              </w:rPr>
              <w:t>A</w:t>
            </w:r>
            <w:r w:rsidRPr="00817764">
              <w:rPr>
                <w:rFonts w:ascii="Arial Narrow" w:hAnsi="Arial Narrow" w:cs="Helvetica"/>
                <w:spacing w:val="9"/>
                <w:kern w:val="1"/>
                <w:sz w:val="21"/>
                <w:szCs w:val="21"/>
              </w:rPr>
              <w:t xml:space="preserve">xés sur le </w:t>
            </w:r>
            <w:r w:rsidRPr="00817764">
              <w:rPr>
                <w:rFonts w:ascii="Arial Narrow" w:hAnsi="Arial Narrow" w:cs="Helvetica"/>
                <w:spacing w:val="5"/>
                <w:kern w:val="1"/>
                <w:sz w:val="21"/>
                <w:szCs w:val="21"/>
              </w:rPr>
              <w:t xml:space="preserve">développement de nouvelles technologies, ils soutiennent en priorité des </w:t>
            </w:r>
            <w:r w:rsidRPr="00817764">
              <w:rPr>
                <w:rFonts w:ascii="Arial Narrow" w:hAnsi="Arial Narrow" w:cs="Helvetica"/>
                <w:spacing w:val="9"/>
                <w:kern w:val="1"/>
                <w:sz w:val="21"/>
                <w:szCs w:val="21"/>
              </w:rPr>
              <w:t xml:space="preserve">programmes de R&amp;D à forte composante publique. Or, la France accuse un plus grand retard en innovation </w:t>
            </w:r>
            <w:r w:rsidRPr="00817764">
              <w:rPr>
                <w:rFonts w:ascii="Arial Narrow" w:hAnsi="Arial Narrow" w:cs="Helvetica"/>
                <w:spacing w:val="5"/>
                <w:kern w:val="1"/>
                <w:sz w:val="21"/>
                <w:szCs w:val="21"/>
              </w:rPr>
              <w:t>«</w:t>
            </w:r>
            <w:r w:rsidRPr="00817764">
              <w:rPr>
                <w:rFonts w:ascii="Times New Roman" w:hAnsi="Times New Roman" w:cs="Times New Roman"/>
                <w:spacing w:val="5"/>
                <w:kern w:val="1"/>
                <w:sz w:val="21"/>
                <w:szCs w:val="21"/>
              </w:rPr>
              <w:t> </w:t>
            </w:r>
            <w:r w:rsidRPr="00817764">
              <w:rPr>
                <w:rFonts w:ascii="Arial Narrow" w:hAnsi="Arial Narrow" w:cs="Helvetica"/>
                <w:spacing w:val="5"/>
                <w:kern w:val="1"/>
                <w:sz w:val="21"/>
                <w:szCs w:val="21"/>
              </w:rPr>
              <w:t>aval</w:t>
            </w:r>
            <w:r w:rsidRPr="00817764">
              <w:rPr>
                <w:rFonts w:ascii="Times New Roman" w:hAnsi="Times New Roman" w:cs="Times New Roman"/>
                <w:spacing w:val="5"/>
                <w:kern w:val="1"/>
                <w:sz w:val="21"/>
                <w:szCs w:val="21"/>
              </w:rPr>
              <w:t> </w:t>
            </w:r>
            <w:r w:rsidRPr="00817764">
              <w:rPr>
                <w:rFonts w:ascii="Arial Narrow" w:hAnsi="Arial Narrow" w:cs="Helvetica"/>
                <w:spacing w:val="5"/>
                <w:kern w:val="1"/>
                <w:sz w:val="21"/>
                <w:szCs w:val="21"/>
              </w:rPr>
              <w:t>» qu’au niveau «</w:t>
            </w:r>
            <w:r w:rsidRPr="00817764">
              <w:rPr>
                <w:rFonts w:ascii="Times New Roman" w:hAnsi="Times New Roman" w:cs="Times New Roman"/>
                <w:spacing w:val="5"/>
                <w:kern w:val="1"/>
                <w:sz w:val="21"/>
                <w:szCs w:val="21"/>
              </w:rPr>
              <w:t> </w:t>
            </w:r>
            <w:r w:rsidRPr="00817764">
              <w:rPr>
                <w:rFonts w:ascii="Arial Narrow" w:hAnsi="Arial Narrow" w:cs="Helvetica"/>
                <w:spacing w:val="5"/>
                <w:kern w:val="1"/>
                <w:sz w:val="21"/>
                <w:szCs w:val="21"/>
              </w:rPr>
              <w:t>amont</w:t>
            </w:r>
            <w:r w:rsidRPr="00817764">
              <w:rPr>
                <w:rFonts w:ascii="Times New Roman" w:hAnsi="Times New Roman" w:cs="Times New Roman"/>
                <w:spacing w:val="5"/>
                <w:kern w:val="1"/>
                <w:sz w:val="21"/>
                <w:szCs w:val="21"/>
              </w:rPr>
              <w:t> </w:t>
            </w:r>
            <w:r w:rsidRPr="00817764">
              <w:rPr>
                <w:rFonts w:ascii="Arial Narrow" w:hAnsi="Arial Narrow" w:cs="Helvetica"/>
                <w:spacing w:val="5"/>
                <w:kern w:val="1"/>
                <w:sz w:val="21"/>
                <w:szCs w:val="21"/>
              </w:rPr>
              <w:t>». Selon l’OCDE, si la dépense de R&amp;D française est en ligne avec la moyenne des pays développés, seules 23</w:t>
            </w:r>
            <w:r w:rsidRPr="00817764">
              <w:rPr>
                <w:rFonts w:ascii="Times New Roman" w:hAnsi="Times New Roman" w:cs="Times New Roman"/>
                <w:spacing w:val="5"/>
                <w:kern w:val="1"/>
                <w:sz w:val="21"/>
                <w:szCs w:val="21"/>
              </w:rPr>
              <w:t> </w:t>
            </w:r>
            <w:r w:rsidRPr="00817764">
              <w:rPr>
                <w:rFonts w:ascii="Arial Narrow" w:hAnsi="Arial Narrow" w:cs="Helvetica"/>
                <w:spacing w:val="5"/>
                <w:kern w:val="1"/>
                <w:sz w:val="21"/>
                <w:szCs w:val="21"/>
              </w:rPr>
              <w:t>% des entreprises françaises ont recours</w:t>
            </w:r>
            <w:r w:rsidRPr="00817764">
              <w:rPr>
                <w:rFonts w:ascii="Arial Narrow" w:hAnsi="Arial Narrow" w:cs="Helvetica"/>
                <w:spacing w:val="9"/>
                <w:kern w:val="1"/>
                <w:sz w:val="21"/>
                <w:szCs w:val="21"/>
              </w:rPr>
              <w:t xml:space="preserve"> à </w:t>
            </w:r>
            <w:r w:rsidRPr="00817764">
              <w:rPr>
                <w:rFonts w:ascii="Arial Narrow" w:hAnsi="Arial Narrow" w:cs="Helvetica"/>
                <w:spacing w:val="5"/>
                <w:kern w:val="1"/>
                <w:sz w:val="21"/>
                <w:szCs w:val="21"/>
              </w:rPr>
              <w:t>l’inno</w:t>
            </w:r>
            <w:r w:rsidRPr="00817764">
              <w:rPr>
                <w:rFonts w:ascii="Arial Narrow" w:hAnsi="Arial Narrow" w:cs="Helvetica"/>
                <w:spacing w:val="1"/>
                <w:kern w:val="1"/>
                <w:sz w:val="21"/>
                <w:szCs w:val="21"/>
              </w:rPr>
              <w:t>vation non-technologique (contre 47</w:t>
            </w:r>
            <w:r w:rsidRPr="00817764">
              <w:rPr>
                <w:rFonts w:ascii="Times New Roman" w:hAnsi="Times New Roman" w:cs="Times New Roman"/>
                <w:spacing w:val="1"/>
                <w:kern w:val="1"/>
                <w:sz w:val="21"/>
                <w:szCs w:val="21"/>
              </w:rPr>
              <w:t> </w:t>
            </w:r>
            <w:r w:rsidRPr="00817764">
              <w:rPr>
                <w:rFonts w:ascii="Arial Narrow" w:hAnsi="Arial Narrow" w:cs="Helvetica"/>
                <w:spacing w:val="1"/>
                <w:kern w:val="1"/>
                <w:sz w:val="21"/>
                <w:szCs w:val="21"/>
              </w:rPr>
              <w:t xml:space="preserve">% en Allemagne). </w:t>
            </w:r>
            <w:r w:rsidRPr="00817764">
              <w:rPr>
                <w:rFonts w:ascii="Arial Narrow" w:hAnsi="Arial Narrow" w:cs="Helvetica"/>
                <w:b/>
                <w:spacing w:val="1"/>
                <w:kern w:val="1"/>
                <w:sz w:val="21"/>
                <w:szCs w:val="21"/>
              </w:rPr>
              <w:t>Les pôles doivent</w:t>
            </w:r>
            <w:r w:rsidRPr="00817764">
              <w:rPr>
                <w:rFonts w:ascii="Arial Narrow" w:hAnsi="Arial Narrow" w:cs="Helvetica"/>
                <w:b/>
                <w:spacing w:val="5"/>
                <w:kern w:val="1"/>
                <w:sz w:val="21"/>
                <w:szCs w:val="21"/>
              </w:rPr>
              <w:t xml:space="preserve"> donc </w:t>
            </w:r>
            <w:r w:rsidRPr="00817764">
              <w:rPr>
                <w:rFonts w:ascii="Arial Narrow" w:hAnsi="Arial Narrow" w:cs="Helvetica"/>
                <w:b/>
                <w:spacing w:val="9"/>
                <w:kern w:val="1"/>
                <w:sz w:val="21"/>
                <w:szCs w:val="21"/>
              </w:rPr>
              <w:t>renforcer leur capacité à proposer des services en matière</w:t>
            </w:r>
            <w:r w:rsidRPr="00817764">
              <w:rPr>
                <w:rFonts w:ascii="Times New Roman" w:hAnsi="Times New Roman" w:cs="Times New Roman"/>
                <w:b/>
                <w:spacing w:val="9"/>
                <w:kern w:val="1"/>
                <w:sz w:val="21"/>
                <w:szCs w:val="21"/>
              </w:rPr>
              <w:t xml:space="preserve"> de</w:t>
            </w:r>
            <w:r w:rsidRPr="00817764">
              <w:rPr>
                <w:rFonts w:ascii="Arial Narrow" w:hAnsi="Arial Narrow" w:cs="Helvetica"/>
                <w:b/>
                <w:spacing w:val="9"/>
                <w:kern w:val="1"/>
                <w:sz w:val="21"/>
                <w:szCs w:val="21"/>
              </w:rPr>
              <w:t xml:space="preserve"> </w:t>
            </w:r>
            <w:r w:rsidRPr="00817764">
              <w:rPr>
                <w:rFonts w:ascii="Arial Narrow" w:hAnsi="Arial Narrow" w:cs="Helvetica"/>
                <w:b/>
                <w:spacing w:val="5"/>
                <w:kern w:val="1"/>
                <w:sz w:val="21"/>
                <w:szCs w:val="21"/>
              </w:rPr>
              <w:t xml:space="preserve">commercialisation, de design, de mise en place de nouveaux </w:t>
            </w:r>
            <w:r w:rsidRPr="00817764">
              <w:rPr>
                <w:rFonts w:ascii="Arial Narrow" w:hAnsi="Arial Narrow" w:cs="Franklin Gothic Book Italic"/>
                <w:b/>
                <w:i/>
                <w:iCs/>
                <w:spacing w:val="5"/>
                <w:kern w:val="1"/>
                <w:sz w:val="21"/>
                <w:szCs w:val="21"/>
              </w:rPr>
              <w:t xml:space="preserve">business models – des </w:t>
            </w:r>
            <w:r w:rsidRPr="00817764">
              <w:rPr>
                <w:rFonts w:ascii="Arial Narrow" w:hAnsi="Arial Narrow" w:cs="Helvetica"/>
                <w:b/>
                <w:spacing w:val="5"/>
                <w:kern w:val="1"/>
                <w:sz w:val="21"/>
                <w:szCs w:val="21"/>
              </w:rPr>
              <w:t>leviers sur lesquels les entreprises françaises sont souvent moins performantes que leurs concurrentes étrangères.</w:t>
            </w:r>
          </w:p>
        </w:tc>
      </w:tr>
      <w:tr w:rsidR="00817764" w:rsidRPr="00817764" w:rsidTr="00950777">
        <w:trPr>
          <w:trHeight w:val="5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764" w:rsidRPr="00A10C99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120"/>
              <w:ind w:right="284"/>
              <w:rPr>
                <w:rFonts w:ascii="Arial Narrow" w:hAnsi="Arial Narrow" w:cs="Helvetica"/>
                <w:spacing w:val="5"/>
                <w:kern w:val="1"/>
                <w:sz w:val="2"/>
                <w:szCs w:val="21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817764" w:rsidRPr="00817764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84"/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</w:pPr>
          </w:p>
        </w:tc>
        <w:tc>
          <w:tcPr>
            <w:tcW w:w="7514" w:type="dxa"/>
            <w:vMerge/>
            <w:tcBorders>
              <w:left w:val="nil"/>
            </w:tcBorders>
          </w:tcPr>
          <w:p w:rsidR="00817764" w:rsidRPr="00817764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84"/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</w:pPr>
          </w:p>
        </w:tc>
      </w:tr>
      <w:tr w:rsidR="00817764" w:rsidRPr="00817764" w:rsidTr="00950777">
        <w:trPr>
          <w:trHeight w:val="129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7764" w:rsidRPr="00950777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120"/>
              <w:ind w:right="284"/>
              <w:rPr>
                <w:rFonts w:ascii="Arial Narrow" w:hAnsi="Arial Narrow" w:cs="Helvetica"/>
                <w:b/>
                <w:spacing w:val="5"/>
                <w:kern w:val="1"/>
                <w:sz w:val="20"/>
                <w:szCs w:val="21"/>
              </w:rPr>
            </w:pPr>
            <w:r w:rsidRPr="00950777">
              <w:rPr>
                <w:rFonts w:ascii="Arial Narrow" w:hAnsi="Arial Narrow" w:cs="Helvetica"/>
                <w:b/>
                <w:spacing w:val="5"/>
                <w:kern w:val="1"/>
                <w:sz w:val="20"/>
                <w:szCs w:val="21"/>
              </w:rPr>
              <w:t>DIAGNOSTIC DE L’INSTITUT DE L’ENTREPRISE</w:t>
            </w:r>
          </w:p>
          <w:p w:rsidR="00817764" w:rsidRPr="00950777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120"/>
              <w:ind w:right="284"/>
              <w:rPr>
                <w:rFonts w:ascii="Arial Narrow" w:hAnsi="Arial Narrow" w:cs="Helvetica"/>
                <w:i/>
                <w:spacing w:val="5"/>
                <w:kern w:val="1"/>
                <w:sz w:val="20"/>
                <w:szCs w:val="21"/>
              </w:rPr>
            </w:pPr>
            <w:r w:rsidRPr="00950777">
              <w:rPr>
                <w:rFonts w:ascii="Arial Narrow" w:hAnsi="Arial Narrow" w:cs="Helvetica"/>
                <w:i/>
                <w:spacing w:val="5"/>
                <w:kern w:val="1"/>
                <w:sz w:val="20"/>
                <w:szCs w:val="21"/>
              </w:rPr>
              <w:t xml:space="preserve">« La démarche impulsée par </w:t>
            </w:r>
            <w:r w:rsidR="00A10C99" w:rsidRPr="00950777">
              <w:rPr>
                <w:rFonts w:ascii="Arial Narrow" w:hAnsi="Arial Narrow" w:cs="Helvetica"/>
                <w:i/>
                <w:spacing w:val="5"/>
                <w:kern w:val="1"/>
                <w:sz w:val="20"/>
                <w:szCs w:val="21"/>
              </w:rPr>
              <w:t xml:space="preserve">le rapport de Christian Blanc, </w:t>
            </w:r>
            <w:r w:rsidRPr="00950777">
              <w:rPr>
                <w:rFonts w:ascii="Arial Narrow" w:hAnsi="Arial Narrow" w:cs="Helvetica"/>
                <w:spacing w:val="5"/>
                <w:kern w:val="1"/>
                <w:sz w:val="20"/>
                <w:szCs w:val="21"/>
              </w:rPr>
              <w:t>Pour un écosystème de croissance</w:t>
            </w:r>
            <w:r w:rsidRPr="00950777">
              <w:rPr>
                <w:rFonts w:ascii="Arial Narrow" w:hAnsi="Arial Narrow" w:cs="Helvetica"/>
                <w:i/>
                <w:spacing w:val="5"/>
                <w:kern w:val="1"/>
                <w:sz w:val="20"/>
                <w:szCs w:val="21"/>
              </w:rPr>
              <w:t>, a permis depuis 2004 une révolution dans les politiques publiques de développement des territoires. Cependant</w:t>
            </w:r>
            <w:r w:rsidR="00A10C99" w:rsidRPr="00950777">
              <w:rPr>
                <w:rFonts w:ascii="Arial Narrow" w:hAnsi="Arial Narrow" w:cs="Helvetica"/>
                <w:i/>
                <w:spacing w:val="5"/>
                <w:kern w:val="1"/>
                <w:sz w:val="20"/>
                <w:szCs w:val="21"/>
              </w:rPr>
              <w:t>,</w:t>
            </w:r>
            <w:r w:rsidRPr="00950777">
              <w:rPr>
                <w:rFonts w:ascii="Arial Narrow" w:hAnsi="Arial Narrow" w:cs="Helvetica"/>
                <w:i/>
                <w:spacing w:val="5"/>
                <w:kern w:val="1"/>
                <w:sz w:val="20"/>
                <w:szCs w:val="21"/>
              </w:rPr>
              <w:t xml:space="preserve"> il s’agit d’un tournant inabouti. »</w:t>
            </w:r>
          </w:p>
          <w:p w:rsidR="00817764" w:rsidRPr="00950777" w:rsidRDefault="00817764" w:rsidP="00950777">
            <w:pPr>
              <w:ind w:right="105"/>
              <w:rPr>
                <w:rFonts w:ascii="Arial Narrow" w:hAnsi="Arial Narrow" w:cs="Helvetica"/>
                <w:spacing w:val="5"/>
                <w:kern w:val="1"/>
                <w:sz w:val="21"/>
                <w:szCs w:val="21"/>
              </w:rPr>
            </w:pPr>
            <w:r w:rsidRPr="00950777">
              <w:rPr>
                <w:rFonts w:ascii="Arial Narrow" w:hAnsi="Arial Narrow" w:cs="Helvetica"/>
                <w:spacing w:val="5"/>
                <w:kern w:val="1"/>
                <w:sz w:val="20"/>
                <w:szCs w:val="21"/>
              </w:rPr>
              <w:t>Vanessa Cordoba  et Romain Lucazeau – co-auteurs de la note de l’Institut de l’entreprise.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817764" w:rsidRPr="00817764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84"/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</w:pPr>
          </w:p>
        </w:tc>
        <w:tc>
          <w:tcPr>
            <w:tcW w:w="7514" w:type="dxa"/>
            <w:vMerge/>
            <w:tcBorders>
              <w:left w:val="nil"/>
            </w:tcBorders>
          </w:tcPr>
          <w:p w:rsidR="00817764" w:rsidRPr="00817764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84"/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</w:pPr>
          </w:p>
        </w:tc>
      </w:tr>
      <w:tr w:rsidR="00817764" w:rsidRPr="00817764" w:rsidTr="00950777">
        <w:trPr>
          <w:trHeight w:val="230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7764" w:rsidRPr="00817764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rFonts w:ascii="Arial Narrow" w:hAnsi="Arial Narrow" w:cs="Helvetica"/>
                <w:spacing w:val="5"/>
                <w:kern w:val="1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17764" w:rsidRPr="00817764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84"/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</w:pPr>
          </w:p>
        </w:tc>
        <w:tc>
          <w:tcPr>
            <w:tcW w:w="7514" w:type="dxa"/>
            <w:tcBorders>
              <w:left w:val="nil"/>
            </w:tcBorders>
          </w:tcPr>
          <w:p w:rsidR="00A10C99" w:rsidRDefault="00A10C99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84"/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</w:pPr>
          </w:p>
          <w:p w:rsidR="00817764" w:rsidRPr="00817764" w:rsidRDefault="00817764" w:rsidP="007A646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84"/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</w:pPr>
            <w:r w:rsidRPr="00817764"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  <w:t>Proposition 3 : Impliquer davantage les grandes entreprises</w:t>
            </w:r>
            <w:r w:rsidR="00506535"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  <w:t xml:space="preserve"> </w:t>
            </w:r>
            <w:r w:rsidR="00716772"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  <w:t>dans les</w:t>
            </w:r>
            <w:r w:rsidR="00950777">
              <w:rPr>
                <w:rFonts w:ascii="Arial Narrow" w:hAnsi="Arial Narrow" w:cs="Helvetica"/>
                <w:b/>
                <w:color w:val="1F497D" w:themeColor="text2"/>
                <w:spacing w:val="-2"/>
                <w:kern w:val="1"/>
                <w:position w:val="6"/>
                <w:sz w:val="21"/>
                <w:szCs w:val="21"/>
                <w:u w:val="single"/>
              </w:rPr>
              <w:t xml:space="preserve"> pôles</w:t>
            </w:r>
          </w:p>
          <w:p w:rsidR="00817764" w:rsidRPr="00817764" w:rsidRDefault="006E2958" w:rsidP="00873F7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120"/>
              <w:ind w:right="284"/>
              <w:jc w:val="both"/>
              <w:rPr>
                <w:rFonts w:ascii="Arial Narrow" w:hAnsi="Arial Narrow" w:cs="Helvetica"/>
                <w:spacing w:val="5"/>
                <w:kern w:val="1"/>
                <w:sz w:val="21"/>
                <w:szCs w:val="21"/>
              </w:rPr>
            </w:pPr>
            <w:bookmarkStart w:id="0" w:name="_GoBack"/>
            <w:r>
              <w:rPr>
                <w:rFonts w:ascii="Arial Narrow" w:hAnsi="Arial Narrow" w:cs="Helvetica"/>
                <w:spacing w:val="-3"/>
                <w:kern w:val="1"/>
                <w:sz w:val="21"/>
                <w:szCs w:val="21"/>
              </w:rPr>
              <w:t>Pour renforcer la capacité des PME et ETI à transformer l’innovation en marchés, le levier des grandes entreprises est essentiel. Ces dernières représentent, 53% des exportations et peuvent significativement contribuer à projeter les autres constituants des écosystèmes à l’international</w:t>
            </w:r>
            <w:r w:rsidR="00A10C99">
              <w:rPr>
                <w:rFonts w:ascii="Arial Narrow" w:hAnsi="Arial Narrow" w:cs="Helvetica"/>
                <w:spacing w:val="-3"/>
                <w:kern w:val="1"/>
                <w:sz w:val="21"/>
                <w:szCs w:val="21"/>
              </w:rPr>
              <w:t>, à travers, par exemple, des offres communes</w:t>
            </w:r>
            <w:r>
              <w:rPr>
                <w:rFonts w:ascii="Arial Narrow" w:hAnsi="Arial Narrow" w:cs="Helvetica"/>
                <w:spacing w:val="-3"/>
                <w:kern w:val="1"/>
                <w:sz w:val="21"/>
                <w:szCs w:val="21"/>
              </w:rPr>
              <w:t xml:space="preserve">. Les pôles de compétitivité ne favorisent pas aujourd’hui une telle implication des grands groupes, car les </w:t>
            </w:r>
            <w:r w:rsidR="00A10C99">
              <w:rPr>
                <w:rFonts w:ascii="Arial Narrow" w:hAnsi="Arial Narrow" w:cs="Helvetica"/>
                <w:spacing w:val="-3"/>
                <w:kern w:val="1"/>
                <w:sz w:val="21"/>
                <w:szCs w:val="21"/>
              </w:rPr>
              <w:t>types de partenariats</w:t>
            </w:r>
            <w:r>
              <w:rPr>
                <w:rFonts w:ascii="Arial Narrow" w:hAnsi="Arial Narrow" w:cs="Helvetica"/>
                <w:spacing w:val="-3"/>
                <w:kern w:val="1"/>
                <w:sz w:val="21"/>
                <w:szCs w:val="21"/>
              </w:rPr>
              <w:t xml:space="preserve"> qui </w:t>
            </w:r>
            <w:r w:rsidR="00A10C99">
              <w:rPr>
                <w:rFonts w:ascii="Arial Narrow" w:hAnsi="Arial Narrow" w:cs="Helvetica"/>
                <w:spacing w:val="-3"/>
                <w:kern w:val="1"/>
                <w:sz w:val="21"/>
                <w:szCs w:val="21"/>
              </w:rPr>
              <w:t xml:space="preserve">leur </w:t>
            </w:r>
            <w:r>
              <w:rPr>
                <w:rFonts w:ascii="Arial Narrow" w:hAnsi="Arial Narrow" w:cs="Helvetica"/>
                <w:spacing w:val="-3"/>
                <w:kern w:val="1"/>
                <w:sz w:val="21"/>
                <w:szCs w:val="21"/>
              </w:rPr>
              <w:t>sont proposés</w:t>
            </w:r>
            <w:r w:rsidR="00950777">
              <w:rPr>
                <w:rFonts w:ascii="Arial Narrow" w:hAnsi="Arial Narrow" w:cs="Helvetica"/>
                <w:spacing w:val="-3"/>
                <w:kern w:val="1"/>
                <w:sz w:val="21"/>
                <w:szCs w:val="21"/>
              </w:rPr>
              <w:t xml:space="preserve"> ciblent prioritairement la R&amp;D</w:t>
            </w:r>
            <w:r>
              <w:rPr>
                <w:rFonts w:ascii="Arial Narrow" w:hAnsi="Arial Narrow" w:cs="Helvetica"/>
                <w:spacing w:val="-3"/>
                <w:kern w:val="1"/>
                <w:sz w:val="21"/>
                <w:szCs w:val="21"/>
              </w:rPr>
              <w:t xml:space="preserve"> </w:t>
            </w:r>
            <w:r w:rsidR="00950777">
              <w:rPr>
                <w:rFonts w:ascii="Arial Narrow" w:hAnsi="Arial Narrow" w:cs="Helvetica"/>
                <w:spacing w:val="-3"/>
                <w:kern w:val="1"/>
                <w:sz w:val="21"/>
                <w:szCs w:val="21"/>
              </w:rPr>
              <w:t xml:space="preserve">et </w:t>
            </w:r>
            <w:r w:rsidR="00A10C99">
              <w:rPr>
                <w:rFonts w:ascii="Arial Narrow" w:hAnsi="Arial Narrow" w:cs="Helvetica"/>
                <w:spacing w:val="-3"/>
                <w:kern w:val="1"/>
                <w:sz w:val="21"/>
                <w:szCs w:val="21"/>
              </w:rPr>
              <w:t xml:space="preserve">ne </w:t>
            </w:r>
            <w:r w:rsidR="00950777">
              <w:rPr>
                <w:rFonts w:ascii="Arial Narrow" w:hAnsi="Arial Narrow" w:cs="Helvetica"/>
                <w:spacing w:val="-3"/>
                <w:kern w:val="1"/>
                <w:sz w:val="21"/>
                <w:szCs w:val="21"/>
              </w:rPr>
              <w:t>répondent pas forcément à leurs attentes</w:t>
            </w:r>
            <w:r w:rsidR="00A10C99">
              <w:rPr>
                <w:rFonts w:ascii="Arial Narrow" w:hAnsi="Arial Narrow" w:cs="Helvetica"/>
                <w:spacing w:val="-3"/>
                <w:kern w:val="1"/>
                <w:sz w:val="21"/>
                <w:szCs w:val="21"/>
              </w:rPr>
              <w:t xml:space="preserve">. </w:t>
            </w:r>
            <w:r w:rsidR="00817764" w:rsidRPr="00817764">
              <w:rPr>
                <w:rFonts w:ascii="Arial Narrow" w:hAnsi="Arial Narrow" w:cs="Helvetica"/>
                <w:b/>
                <w:spacing w:val="1"/>
                <w:kern w:val="1"/>
                <w:sz w:val="21"/>
                <w:szCs w:val="21"/>
              </w:rPr>
              <w:t xml:space="preserve">Pour ne pas priver les pôles de compétitivité de </w:t>
            </w:r>
            <w:r w:rsidR="00A10C99">
              <w:rPr>
                <w:rFonts w:ascii="Arial Narrow" w:hAnsi="Arial Narrow" w:cs="Helvetica"/>
                <w:b/>
                <w:spacing w:val="1"/>
                <w:kern w:val="1"/>
                <w:sz w:val="21"/>
                <w:szCs w:val="21"/>
              </w:rPr>
              <w:t xml:space="preserve">ces </w:t>
            </w:r>
            <w:r w:rsidR="00817764" w:rsidRPr="00817764">
              <w:rPr>
                <w:rFonts w:ascii="Arial Narrow" w:hAnsi="Arial Narrow" w:cs="Helvetica"/>
                <w:b/>
                <w:spacing w:val="5"/>
                <w:kern w:val="1"/>
                <w:sz w:val="21"/>
                <w:szCs w:val="21"/>
              </w:rPr>
              <w:t xml:space="preserve">vecteurs </w:t>
            </w:r>
            <w:r w:rsidR="00817764" w:rsidRPr="00817764">
              <w:rPr>
                <w:rFonts w:ascii="Arial Narrow" w:hAnsi="Arial Narrow" w:cs="Helvetica"/>
                <w:b/>
                <w:spacing w:val="9"/>
                <w:kern w:val="1"/>
                <w:sz w:val="21"/>
                <w:szCs w:val="21"/>
              </w:rPr>
              <w:t>de développement majeurs, il est</w:t>
            </w:r>
            <w:r w:rsidR="00817764" w:rsidRPr="00817764">
              <w:rPr>
                <w:rFonts w:ascii="Arial Narrow" w:hAnsi="Arial Narrow" w:cs="Helvetica"/>
                <w:b/>
                <w:spacing w:val="12"/>
                <w:kern w:val="1"/>
                <w:sz w:val="21"/>
                <w:szCs w:val="21"/>
              </w:rPr>
              <w:t xml:space="preserve"> </w:t>
            </w:r>
            <w:r w:rsidR="00817764" w:rsidRPr="00817764">
              <w:rPr>
                <w:rFonts w:ascii="Arial Narrow" w:hAnsi="Arial Narrow" w:cs="Helvetica"/>
                <w:b/>
                <w:spacing w:val="9"/>
                <w:kern w:val="1"/>
                <w:sz w:val="21"/>
                <w:szCs w:val="21"/>
              </w:rPr>
              <w:t>impératif d’</w:t>
            </w:r>
            <w:r w:rsidR="00817764" w:rsidRPr="00817764">
              <w:rPr>
                <w:rFonts w:ascii="Arial Narrow" w:hAnsi="Arial Narrow" w:cs="Helvetica"/>
                <w:b/>
                <w:spacing w:val="5"/>
                <w:kern w:val="1"/>
                <w:sz w:val="21"/>
                <w:szCs w:val="21"/>
              </w:rPr>
              <w:t>intégrer davantage les grands groupes à ces dispositifs</w:t>
            </w:r>
            <w:r w:rsidR="00A10C99">
              <w:rPr>
                <w:rFonts w:ascii="Arial Narrow" w:hAnsi="Arial Narrow" w:cs="Helvetica"/>
                <w:b/>
                <w:spacing w:val="5"/>
                <w:kern w:val="1"/>
                <w:sz w:val="21"/>
                <w:szCs w:val="21"/>
              </w:rPr>
              <w:t>,</w:t>
            </w:r>
            <w:r w:rsidR="00817764" w:rsidRPr="00817764">
              <w:rPr>
                <w:rFonts w:ascii="Arial Narrow" w:hAnsi="Arial Narrow" w:cs="Helvetica"/>
                <w:b/>
                <w:spacing w:val="5"/>
                <w:kern w:val="1"/>
                <w:sz w:val="21"/>
                <w:szCs w:val="21"/>
              </w:rPr>
              <w:t xml:space="preserve"> grâce à une offre de services adaptée.</w:t>
            </w:r>
            <w:bookmarkEnd w:id="0"/>
          </w:p>
        </w:tc>
      </w:tr>
    </w:tbl>
    <w:p w:rsidR="003A4409" w:rsidRPr="00817764" w:rsidRDefault="003A4409" w:rsidP="003A4409">
      <w:pPr>
        <w:tabs>
          <w:tab w:val="left" w:pos="5626"/>
        </w:tabs>
        <w:ind w:right="284"/>
        <w:rPr>
          <w:rFonts w:ascii="Arial Narrow" w:hAnsi="Arial Narrow"/>
          <w:sz w:val="21"/>
          <w:szCs w:val="21"/>
        </w:rPr>
      </w:pPr>
    </w:p>
    <w:p w:rsidR="003A4409" w:rsidRDefault="003A4409" w:rsidP="0040177E">
      <w:pPr>
        <w:tabs>
          <w:tab w:val="left" w:pos="5626"/>
        </w:tabs>
        <w:ind w:right="284"/>
        <w:jc w:val="center"/>
        <w:rPr>
          <w:rFonts w:ascii="Arial Narrow" w:hAnsi="Arial Narrow"/>
          <w:sz w:val="18"/>
          <w:szCs w:val="18"/>
        </w:rPr>
      </w:pPr>
    </w:p>
    <w:p w:rsidR="004F3B3B" w:rsidRPr="004F3B3B" w:rsidRDefault="004F3B3B" w:rsidP="0040177E">
      <w:pPr>
        <w:tabs>
          <w:tab w:val="left" w:pos="5626"/>
        </w:tabs>
        <w:ind w:right="284"/>
        <w:jc w:val="center"/>
        <w:rPr>
          <w:rFonts w:ascii="Arial Narrow" w:hAnsi="Arial Narrow"/>
          <w:sz w:val="18"/>
          <w:szCs w:val="18"/>
        </w:rPr>
      </w:pPr>
      <w:r w:rsidRPr="004F3B3B">
        <w:rPr>
          <w:rFonts w:ascii="Arial Narrow" w:hAnsi="Arial Narrow"/>
          <w:sz w:val="18"/>
          <w:szCs w:val="18"/>
        </w:rPr>
        <w:t xml:space="preserve">Contacts presse </w:t>
      </w:r>
    </w:p>
    <w:p w:rsidR="004F3B3B" w:rsidRPr="004F3B3B" w:rsidRDefault="004F3B3B" w:rsidP="0040177E">
      <w:pPr>
        <w:tabs>
          <w:tab w:val="left" w:pos="5626"/>
        </w:tabs>
        <w:ind w:right="284"/>
        <w:jc w:val="center"/>
        <w:rPr>
          <w:rFonts w:ascii="Arial Narrow" w:hAnsi="Arial Narrow"/>
          <w:sz w:val="18"/>
          <w:szCs w:val="18"/>
        </w:rPr>
      </w:pPr>
      <w:r w:rsidRPr="004F3B3B">
        <w:rPr>
          <w:rFonts w:ascii="Arial Narrow" w:hAnsi="Arial Narrow"/>
          <w:sz w:val="18"/>
          <w:szCs w:val="18"/>
        </w:rPr>
        <w:t xml:space="preserve">Julie Micheli-Palme – </w:t>
      </w:r>
      <w:hyperlink r:id="rId8" w:history="1">
        <w:r w:rsidRPr="004F3B3B">
          <w:rPr>
            <w:rStyle w:val="Lienhypertexte"/>
            <w:rFonts w:ascii="Arial Narrow" w:hAnsi="Arial Narrow"/>
            <w:sz w:val="18"/>
            <w:szCs w:val="18"/>
          </w:rPr>
          <w:t>jmicheli@idep.net</w:t>
        </w:r>
      </w:hyperlink>
      <w:r w:rsidRPr="004F3B3B">
        <w:rPr>
          <w:rFonts w:ascii="Arial Narrow" w:hAnsi="Arial Narrow"/>
          <w:sz w:val="18"/>
          <w:szCs w:val="18"/>
        </w:rPr>
        <w:t xml:space="preserve"> 01 53 23 05 45</w:t>
      </w:r>
      <w:r w:rsidR="0040177E">
        <w:rPr>
          <w:rFonts w:ascii="Arial Narrow" w:hAnsi="Arial Narrow"/>
          <w:sz w:val="18"/>
          <w:szCs w:val="18"/>
        </w:rPr>
        <w:t xml:space="preserve"> / </w:t>
      </w:r>
      <w:r w:rsidRPr="004F3B3B">
        <w:rPr>
          <w:rFonts w:ascii="Arial Narrow" w:hAnsi="Arial Narrow"/>
          <w:sz w:val="18"/>
          <w:szCs w:val="18"/>
        </w:rPr>
        <w:t xml:space="preserve">Agathe Kalfon – </w:t>
      </w:r>
      <w:hyperlink r:id="rId9" w:history="1">
        <w:r w:rsidRPr="004F3B3B">
          <w:rPr>
            <w:rStyle w:val="Lienhypertexte"/>
            <w:rFonts w:ascii="Arial Narrow" w:hAnsi="Arial Narrow"/>
            <w:sz w:val="18"/>
            <w:szCs w:val="18"/>
          </w:rPr>
          <w:t>akalfon@idep.net</w:t>
        </w:r>
      </w:hyperlink>
      <w:r w:rsidRPr="004F3B3B">
        <w:rPr>
          <w:rFonts w:ascii="Arial Narrow" w:hAnsi="Arial Narrow"/>
          <w:sz w:val="18"/>
          <w:szCs w:val="18"/>
        </w:rPr>
        <w:t xml:space="preserve"> - 01 53 23 05 46</w:t>
      </w:r>
    </w:p>
    <w:sectPr w:rsidR="004F3B3B" w:rsidRPr="004F3B3B" w:rsidSect="004F3B3B">
      <w:headerReference w:type="default" r:id="rId10"/>
      <w:pgSz w:w="11900" w:h="16840"/>
      <w:pgMar w:top="851" w:right="70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D29" w:rsidRDefault="00CA6D29" w:rsidP="001B7A19">
      <w:r>
        <w:separator/>
      </w:r>
    </w:p>
  </w:endnote>
  <w:endnote w:type="continuationSeparator" w:id="0">
    <w:p w:rsidR="00CA6D29" w:rsidRDefault="00CA6D29" w:rsidP="001B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 Italic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D29" w:rsidRDefault="00CA6D29" w:rsidP="001B7A19">
      <w:r>
        <w:separator/>
      </w:r>
    </w:p>
  </w:footnote>
  <w:footnote w:type="continuationSeparator" w:id="0">
    <w:p w:rsidR="00CA6D29" w:rsidRDefault="00CA6D29" w:rsidP="001B7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72" w:rsidRDefault="00716772">
    <w:pPr>
      <w:pStyle w:val="En-tte"/>
    </w:pPr>
    <w:r w:rsidRPr="006335D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-252095</wp:posOffset>
          </wp:positionV>
          <wp:extent cx="1457325" cy="514350"/>
          <wp:effectExtent l="0" t="0" r="0" b="0"/>
          <wp:wrapSquare wrapText="bothSides"/>
          <wp:docPr id="4" name="Image 1" descr="Logo-I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d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33B"/>
    <w:multiLevelType w:val="hybridMultilevel"/>
    <w:tmpl w:val="00AAB308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25C9"/>
    <w:rsid w:val="00016314"/>
    <w:rsid w:val="000563AE"/>
    <w:rsid w:val="00066EEC"/>
    <w:rsid w:val="00076814"/>
    <w:rsid w:val="000E7394"/>
    <w:rsid w:val="000F20EF"/>
    <w:rsid w:val="00116570"/>
    <w:rsid w:val="001B1E09"/>
    <w:rsid w:val="001B7A19"/>
    <w:rsid w:val="001C56B6"/>
    <w:rsid w:val="00272075"/>
    <w:rsid w:val="002A35BC"/>
    <w:rsid w:val="00357E6E"/>
    <w:rsid w:val="00371795"/>
    <w:rsid w:val="00375B70"/>
    <w:rsid w:val="00395E49"/>
    <w:rsid w:val="003A4409"/>
    <w:rsid w:val="003B5597"/>
    <w:rsid w:val="003B6319"/>
    <w:rsid w:val="004013C7"/>
    <w:rsid w:val="0040177E"/>
    <w:rsid w:val="004A1F29"/>
    <w:rsid w:val="004F3B3B"/>
    <w:rsid w:val="00506535"/>
    <w:rsid w:val="005724E0"/>
    <w:rsid w:val="005C4E07"/>
    <w:rsid w:val="005E1418"/>
    <w:rsid w:val="006168AB"/>
    <w:rsid w:val="00641DAF"/>
    <w:rsid w:val="006E19FE"/>
    <w:rsid w:val="006E2958"/>
    <w:rsid w:val="007003E2"/>
    <w:rsid w:val="00716772"/>
    <w:rsid w:val="007A6462"/>
    <w:rsid w:val="00817764"/>
    <w:rsid w:val="00873F79"/>
    <w:rsid w:val="0089471D"/>
    <w:rsid w:val="008D2586"/>
    <w:rsid w:val="008D34B4"/>
    <w:rsid w:val="008E7C19"/>
    <w:rsid w:val="00935613"/>
    <w:rsid w:val="00950777"/>
    <w:rsid w:val="009A25C9"/>
    <w:rsid w:val="009C4155"/>
    <w:rsid w:val="009F16B5"/>
    <w:rsid w:val="00A10C99"/>
    <w:rsid w:val="00A35A8B"/>
    <w:rsid w:val="00A817A3"/>
    <w:rsid w:val="00A97446"/>
    <w:rsid w:val="00B154ED"/>
    <w:rsid w:val="00B66C2B"/>
    <w:rsid w:val="00B678C1"/>
    <w:rsid w:val="00B757EE"/>
    <w:rsid w:val="00C13988"/>
    <w:rsid w:val="00C41C6D"/>
    <w:rsid w:val="00C8354F"/>
    <w:rsid w:val="00CA6D29"/>
    <w:rsid w:val="00CB2C42"/>
    <w:rsid w:val="00CB4AEB"/>
    <w:rsid w:val="00D07859"/>
    <w:rsid w:val="00D21253"/>
    <w:rsid w:val="00D31343"/>
    <w:rsid w:val="00D32064"/>
    <w:rsid w:val="00D34DF7"/>
    <w:rsid w:val="00D501CF"/>
    <w:rsid w:val="00D54A54"/>
    <w:rsid w:val="00D91D91"/>
    <w:rsid w:val="00E01304"/>
    <w:rsid w:val="00E15323"/>
    <w:rsid w:val="00E214F8"/>
    <w:rsid w:val="00E2422C"/>
    <w:rsid w:val="00E30E31"/>
    <w:rsid w:val="00E4114A"/>
    <w:rsid w:val="00E42F63"/>
    <w:rsid w:val="00E6641D"/>
    <w:rsid w:val="00F4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A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A19"/>
  </w:style>
  <w:style w:type="paragraph" w:styleId="Pieddepage">
    <w:name w:val="footer"/>
    <w:basedOn w:val="Normal"/>
    <w:link w:val="PieddepageCar"/>
    <w:uiPriority w:val="99"/>
    <w:unhideWhenUsed/>
    <w:rsid w:val="001B7A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A19"/>
  </w:style>
  <w:style w:type="paragraph" w:styleId="Paragraphedeliste">
    <w:name w:val="List Paragraph"/>
    <w:basedOn w:val="Normal"/>
    <w:uiPriority w:val="34"/>
    <w:qFormat/>
    <w:rsid w:val="00A974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3B3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0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0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7A6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A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7A19"/>
  </w:style>
  <w:style w:type="paragraph" w:styleId="Pieddepage">
    <w:name w:val="footer"/>
    <w:basedOn w:val="Normal"/>
    <w:link w:val="PieddepageCar"/>
    <w:uiPriority w:val="99"/>
    <w:unhideWhenUsed/>
    <w:rsid w:val="001B7A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A19"/>
  </w:style>
  <w:style w:type="paragraph" w:styleId="Paragraphedeliste">
    <w:name w:val="List Paragraph"/>
    <w:basedOn w:val="Normal"/>
    <w:uiPriority w:val="34"/>
    <w:qFormat/>
    <w:rsid w:val="00A974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3B3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0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07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7A6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cheli@idep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alfon@idep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E92C6E-CDBC-42E0-8B50-F23D31EB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L'entreprise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Palme</dc:creator>
  <cp:lastModifiedBy>a.kalfon</cp:lastModifiedBy>
  <cp:revision>2</cp:revision>
  <cp:lastPrinted>2012-12-03T17:47:00Z</cp:lastPrinted>
  <dcterms:created xsi:type="dcterms:W3CDTF">2012-12-06T16:15:00Z</dcterms:created>
  <dcterms:modified xsi:type="dcterms:W3CDTF">2012-12-06T16:15:00Z</dcterms:modified>
</cp:coreProperties>
</file>